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32CE" w14:textId="77777777" w:rsidR="00AC7F84" w:rsidRDefault="00AC7F84" w:rsidP="00AC7F84">
      <w:pPr>
        <w:jc w:val="right"/>
      </w:pPr>
      <w:bookmarkStart w:id="0" w:name="_GoBack"/>
      <w:bookmarkEnd w:id="0"/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0796490E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="007C4D1F">
        <w:rPr>
          <w:b/>
          <w:color w:val="000000" w:themeColor="text1"/>
        </w:rPr>
        <w:t xml:space="preserve">słabo </w:t>
      </w:r>
      <w:r w:rsidR="007C4D1F" w:rsidRPr="007C4D1F">
        <w:rPr>
          <w:color w:val="000000" w:themeColor="text1"/>
        </w:rPr>
        <w:t>opanował materiał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dobrze</w:t>
      </w:r>
      <w:r w:rsidRPr="00BE0D22">
        <w:rPr>
          <w:color w:val="000000" w:themeColor="text1"/>
        </w:rPr>
        <w:t xml:space="preserve"> opanował materiał z języka angielskiego oraz Uczeń </w:t>
      </w:r>
      <w:r w:rsidR="007C4D1F">
        <w:rPr>
          <w:b/>
          <w:color w:val="000000" w:themeColor="text1"/>
        </w:rPr>
        <w:t>bardzo dobrze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opanował materiał z języka angielskiego. Kryteria nie uwzględniają oceny najsłabszej tj. Uczeń </w:t>
      </w:r>
      <w:r w:rsidR="007C4D1F" w:rsidRPr="007C4D1F">
        <w:rPr>
          <w:b/>
          <w:color w:val="000000" w:themeColor="text1"/>
        </w:rPr>
        <w:t>niewystarczająco</w:t>
      </w:r>
      <w:r w:rsidR="007C4D1F" w:rsidRPr="007C4D1F">
        <w:rPr>
          <w:color w:val="000000" w:themeColor="text1"/>
        </w:rPr>
        <w:t xml:space="preserve"> opanował materiał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="007C4D1F">
        <w:rPr>
          <w:b/>
          <w:color w:val="000000" w:themeColor="text1"/>
        </w:rPr>
        <w:t>celująco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opanował materiał z języka angielskiego. Ocenę </w:t>
      </w:r>
      <w:r w:rsidR="007C4D1F">
        <w:rPr>
          <w:color w:val="000000" w:themeColor="text1"/>
        </w:rPr>
        <w:t>„</w:t>
      </w:r>
      <w:r w:rsidR="007C4D1F">
        <w:rPr>
          <w:b/>
          <w:color w:val="000000" w:themeColor="text1"/>
        </w:rPr>
        <w:t xml:space="preserve">celująco” </w:t>
      </w:r>
      <w:r w:rsidRPr="00BE0D22">
        <w:rPr>
          <w:color w:val="000000" w:themeColor="text1"/>
        </w:rPr>
        <w:t xml:space="preserve">otrzymuje uczeń, którego znajomość języka angielskiego wykracza poza wymagania na ocenę </w:t>
      </w:r>
      <w:r w:rsidR="007C4D1F">
        <w:rPr>
          <w:color w:val="000000" w:themeColor="text1"/>
        </w:rPr>
        <w:t>„</w:t>
      </w:r>
      <w:r w:rsidR="007C4D1F" w:rsidRPr="007C4D1F">
        <w:rPr>
          <w:b/>
          <w:color w:val="000000" w:themeColor="text1"/>
        </w:rPr>
        <w:t>bardzo dobrze</w:t>
      </w:r>
      <w:r w:rsidR="007C4D1F">
        <w:rPr>
          <w:b/>
          <w:color w:val="000000" w:themeColor="text1"/>
        </w:rPr>
        <w:t>”</w:t>
      </w:r>
      <w:r w:rsidRPr="00BE0D22">
        <w:rPr>
          <w:color w:val="000000" w:themeColor="text1"/>
        </w:rPr>
        <w:t xml:space="preserve">, zaś uczeń, który nie spełnia wymagań na ocenę </w:t>
      </w:r>
      <w:r w:rsidR="007C4D1F">
        <w:rPr>
          <w:b/>
          <w:color w:val="000000" w:themeColor="text1"/>
        </w:rPr>
        <w:t>„słabo”</w:t>
      </w:r>
      <w:r w:rsidRPr="00BE0D22">
        <w:rPr>
          <w:color w:val="000000" w:themeColor="text1"/>
        </w:rPr>
        <w:t xml:space="preserve">, otrzymuje ocenę: </w:t>
      </w:r>
      <w:r w:rsidR="007C4D1F">
        <w:rPr>
          <w:b/>
          <w:color w:val="000000" w:themeColor="text1"/>
        </w:rPr>
        <w:t>„niewystarczająco”</w:t>
      </w:r>
      <w:r w:rsidRPr="00BE0D22">
        <w:rPr>
          <w:color w:val="000000" w:themeColor="text1"/>
        </w:rPr>
        <w:t xml:space="preserve">. </w:t>
      </w:r>
      <w:r w:rsidR="001C6248">
        <w:rPr>
          <w:color w:val="000000" w:themeColor="text1"/>
        </w:rPr>
        <w:t>Oceny opisowe wystawiane są na koniec I półrocza i koniec roku szkolnego.</w:t>
      </w:r>
    </w:p>
    <w:p w14:paraId="2AB364A9" w14:textId="77777777" w:rsidR="006F0FFA" w:rsidRPr="00BE0D22" w:rsidRDefault="006F0FFA" w:rsidP="006F0FFA">
      <w:pPr>
        <w:jc w:val="both"/>
        <w:rPr>
          <w:color w:val="000000" w:themeColor="text1"/>
        </w:rPr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1C893D54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08594318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03BD754A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60C1326D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4892EA90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18E44F2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629EB948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1B8B73C4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399D2125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08FD6479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19269DE5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0829F9B6" w:rsidR="00AC7F84" w:rsidRPr="000C1A34" w:rsidRDefault="009E35CE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32FBD85F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5BE1B5B6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159F00ED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42EF67A5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41FA08DD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02E0FA79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A071BE6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28491A45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6887319F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4490FBA9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5DDE6ECE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59CA37DB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1C38DEB9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S</w:t>
            </w:r>
            <w:r w:rsidRPr="009E35CE">
              <w:rPr>
                <w:sz w:val="16"/>
                <w:szCs w:val="16"/>
              </w:rPr>
              <w:t>łabo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5526795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146A14C2" w:rsidR="00515F68" w:rsidRPr="000C1A34" w:rsidRDefault="009E35CE" w:rsidP="00D359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9E35CE">
              <w:rPr>
                <w:sz w:val="17"/>
                <w:szCs w:val="17"/>
              </w:rPr>
              <w:t>ardzo dobrze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1C6248"/>
    <w:rsid w:val="00235C5E"/>
    <w:rsid w:val="00243A38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C4D1F"/>
    <w:rsid w:val="007F3F97"/>
    <w:rsid w:val="008B4A0F"/>
    <w:rsid w:val="00913E4A"/>
    <w:rsid w:val="009163E6"/>
    <w:rsid w:val="009E35CE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35CC2"/>
    <w:rsid w:val="00D443DD"/>
    <w:rsid w:val="00D56E64"/>
    <w:rsid w:val="00D96A57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AE19-1A16-4F85-B9F5-0577E241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6295</Words>
  <Characters>37771</Characters>
  <Application>Microsoft Office Word</Application>
  <DocSecurity>4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Vice</cp:lastModifiedBy>
  <cp:revision>2</cp:revision>
  <cp:lastPrinted>2020-12-03T11:57:00Z</cp:lastPrinted>
  <dcterms:created xsi:type="dcterms:W3CDTF">2022-02-01T08:28:00Z</dcterms:created>
  <dcterms:modified xsi:type="dcterms:W3CDTF">2022-02-01T08:28:00Z</dcterms:modified>
</cp:coreProperties>
</file>